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D8C7" w14:textId="77777777" w:rsidR="009B0633" w:rsidRDefault="006D55AF">
      <w:pPr>
        <w:spacing w:line="580" w:lineRule="exact"/>
        <w:jc w:val="center"/>
        <w:rPr>
          <w:rFonts w:ascii="方正小标宋简体" w:eastAsia="方正小标宋简体" w:hAnsi="黑体"/>
          <w:kern w:val="6"/>
          <w:sz w:val="36"/>
          <w:szCs w:val="36"/>
        </w:rPr>
      </w:pPr>
      <w:r>
        <w:rPr>
          <w:rFonts w:ascii="方正小标宋简体" w:eastAsia="方正小标宋简体" w:hAnsi="黑体" w:hint="eastAsia"/>
          <w:kern w:val="6"/>
          <w:sz w:val="36"/>
          <w:szCs w:val="36"/>
        </w:rPr>
        <w:t>河北工业大学</w:t>
      </w:r>
      <w:r>
        <w:rPr>
          <w:rFonts w:ascii="方正小标宋简体" w:eastAsia="方正小标宋简体" w:hAnsi="黑体" w:hint="eastAsia"/>
          <w:kern w:val="6"/>
          <w:sz w:val="36"/>
          <w:szCs w:val="36"/>
        </w:rPr>
        <w:t>2</w:t>
      </w:r>
      <w:r>
        <w:rPr>
          <w:rFonts w:ascii="方正小标宋简体" w:eastAsia="方正小标宋简体" w:hAnsi="黑体"/>
          <w:kern w:val="6"/>
          <w:sz w:val="36"/>
          <w:szCs w:val="36"/>
        </w:rPr>
        <w:t>026</w:t>
      </w:r>
      <w:r>
        <w:rPr>
          <w:rFonts w:ascii="方正小标宋简体" w:eastAsia="方正小标宋简体" w:hAnsi="黑体" w:hint="eastAsia"/>
          <w:kern w:val="6"/>
          <w:sz w:val="36"/>
          <w:szCs w:val="36"/>
        </w:rPr>
        <w:t>届本科毕业设计（论文）</w:t>
      </w:r>
    </w:p>
    <w:p w14:paraId="58EFF4DA" w14:textId="77777777" w:rsidR="009B0633" w:rsidRDefault="006D55AF">
      <w:pPr>
        <w:spacing w:line="580" w:lineRule="exact"/>
        <w:jc w:val="center"/>
        <w:rPr>
          <w:rFonts w:ascii="方正小标宋简体" w:eastAsia="方正小标宋简体" w:hAnsi="黑体"/>
          <w:kern w:val="6"/>
          <w:sz w:val="36"/>
          <w:szCs w:val="36"/>
        </w:rPr>
      </w:pPr>
      <w:r>
        <w:rPr>
          <w:rFonts w:ascii="方正小标宋简体" w:eastAsia="方正小标宋简体" w:hAnsi="黑体" w:hint="eastAsia"/>
          <w:kern w:val="6"/>
          <w:sz w:val="36"/>
          <w:szCs w:val="36"/>
        </w:rPr>
        <w:t>工作规范</w:t>
      </w:r>
    </w:p>
    <w:p w14:paraId="1C65C374" w14:textId="77777777" w:rsidR="009B0633" w:rsidRDefault="006D55AF">
      <w:pPr>
        <w:pStyle w:val="a9"/>
        <w:shd w:val="clear" w:color="auto" w:fill="FFFFFF"/>
        <w:spacing w:before="0" w:beforeAutospacing="0" w:after="0" w:afterAutospacing="0" w:line="580" w:lineRule="exact"/>
        <w:ind w:left="645"/>
        <w:rPr>
          <w:rFonts w:ascii="黑体" w:eastAsia="黑体" w:hAnsi="黑体" w:cs="Times New Roman"/>
          <w:kern w:val="6"/>
          <w:sz w:val="32"/>
          <w:szCs w:val="32"/>
        </w:rPr>
      </w:pPr>
      <w:r>
        <w:rPr>
          <w:rFonts w:ascii="黑体" w:eastAsia="黑体" w:hAnsi="黑体" w:cs="Times New Roman" w:hint="eastAsia"/>
          <w:kern w:val="6"/>
          <w:sz w:val="32"/>
          <w:szCs w:val="32"/>
        </w:rPr>
        <w:t>一、教学</w:t>
      </w:r>
      <w:r>
        <w:rPr>
          <w:rFonts w:ascii="黑体" w:eastAsia="黑体" w:hAnsi="黑体" w:cs="Times New Roman"/>
          <w:kern w:val="6"/>
          <w:sz w:val="32"/>
          <w:szCs w:val="32"/>
        </w:rPr>
        <w:t>组织与管理</w:t>
      </w:r>
    </w:p>
    <w:p w14:paraId="65AB30F0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1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本科生院负责全校本科生毕业设计（论文）工作的顶层设计、制度制定、时间节点控制、质量监控、优秀论文评选、宣传。建设并维护“本科毕业设计（论文）信息管理系统”与“联合毕业设计课题管理平台”，推进“四库一平台”的协同育人模式，实现合作单位数量、联合毕业设计课题数量、校外导师库质量、优质成果数量的“四增长”目标。通过对全流程的数据采集、分析与可视化，实现精准管理，为教学改革与资源分配提供决策支持。</w:t>
      </w:r>
    </w:p>
    <w:p w14:paraId="1535E762" w14:textId="3FEB4A0F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/>
          <w:kern w:val="6"/>
          <w:sz w:val="32"/>
          <w:szCs w:val="32"/>
        </w:rPr>
        <w:t>2.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各学院是毕业设计（论文）工作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责任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的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主体与合作单位管理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的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主体，全面负责选题审核、过程检查、答辩、质量监控、宣传和组织优秀论文推选等环节；组织实施本学院各项工作，并确保各项工作规范实施，所有过程数据按时、准确录入信息系统；学院须重点推进“联合毕业设计课题管理平台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”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中“四库”资源体系的系统化建设与协同运营：在“政、校、行、企、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研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资源库”方面，积极拓展与维护合作单位，邀请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审核合格的政府、行业、企业及科研机构入驻平台，建立动态更新机制，夯实联合培养的资源基础；在“校内外导师人才库”方面，依据专业需求加强校外导师的寻聘、遴选与聘任，明确其职责与权益，推动“双导师制”有效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落地；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在“实战项目库”方面，主动对接合作单位，推动其发布源于真实需求的课题，并组织专业对接与审核，确保课题质量，推动毕业设计从“真题真做”迈向“真题真效”；在“毕业设计成果库”方面，强化成果的遴选、推荐、宣传与转化，通过成果展、成果集、媒体推送等方式，持续扩大优秀成果影响力，将毕业设计工作打造为彰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显人才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培养质量与产教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融合成效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的品牌活动。通过系统推进“四库”数据化建设与全过程管理，学院切实将产业需求融入人才培养最终环节，保障联合培养的质量与实效。</w:t>
      </w:r>
    </w:p>
    <w:p w14:paraId="00FDA7F2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3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专业负责人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负责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修订教学大纲和选题指南、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组织本专业选题审核、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任务书审定，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合理设置日程安排，修改、提交相关文件。选题、任务书、前期报告、中期报告、论文初稿、论文送审、论文定稿、成绩评定和评优环节为本科毕业设计（论文）的必选环节，不能省略；规范指导教师、评阅教师、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答辩组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的成绩评定，避免出现较大差异。要充分利用“联合毕业设计课题管理平台”的数据，分析本专业毕业设计选题趋势与质量，推动产教融合。要对校级优秀本科毕业设计（论文）评选方式方法进行创新，强化对成果创新性和实际应用价值的考察，保证评选的科学性和公开公平公正。</w:t>
      </w:r>
    </w:p>
    <w:p w14:paraId="1E20955B" w14:textId="77777777" w:rsidR="009B0633" w:rsidRDefault="006D55AF">
      <w:pPr>
        <w:ind w:firstLineChars="200" w:firstLine="640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4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指导教师全面负责毕业设计（论文）各阶段教学工作，是学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生毕业设计（论文）质量的第一责任人。</w:t>
      </w:r>
      <w:r>
        <w:rPr>
          <w:rFonts w:ascii="仿宋_GB2312" w:eastAsia="仿宋_GB2312" w:hAnsi="宋体" w:hint="eastAsia"/>
          <w:kern w:val="6"/>
          <w:sz w:val="32"/>
          <w:szCs w:val="32"/>
        </w:rPr>
        <w:t>应认真完成指导任务，保证指导次数和质量，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须在信息系统中记录关键指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导过程；</w:t>
      </w:r>
      <w:r>
        <w:rPr>
          <w:rFonts w:ascii="仿宋_GB2312" w:eastAsia="仿宋_GB2312" w:hAnsi="宋体" w:hint="eastAsia"/>
          <w:kern w:val="6"/>
          <w:sz w:val="32"/>
          <w:szCs w:val="32"/>
        </w:rPr>
        <w:t>要加强与学生的沟通交流，督促学生按时提交文档，并对学生提交的文档及时审查。鼓励校内导师与企业导师协同指导，共同把控项目方向与成果质量。</w:t>
      </w:r>
    </w:p>
    <w:p w14:paraId="630E7E81" w14:textId="77777777" w:rsidR="009B0633" w:rsidRDefault="006D55AF">
      <w:pPr>
        <w:ind w:firstLineChars="200" w:firstLine="640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5</w:t>
      </w:r>
      <w:r>
        <w:rPr>
          <w:rFonts w:ascii="仿宋_GB2312" w:eastAsia="仿宋_GB2312" w:hAnsi="宋体"/>
          <w:kern w:val="6"/>
          <w:sz w:val="32"/>
          <w:szCs w:val="32"/>
        </w:rPr>
        <w:t>.</w:t>
      </w:r>
      <w:r>
        <w:rPr>
          <w:rFonts w:ascii="仿宋_GB2312" w:eastAsia="仿宋_GB2312" w:hAnsi="宋体" w:hint="eastAsia"/>
          <w:kern w:val="6"/>
          <w:sz w:val="32"/>
          <w:szCs w:val="32"/>
        </w:rPr>
        <w:t>学生是主体执行者，独立完成设计（论文）任务。遵守毕业设计（论文）时间安排，按阶段提交任务书、前期报告、中期报告、毕业设计说明书或毕业论文，主动与指导教师沟通，定期汇报进展；遵守学术规范，独立完成工作，严禁抄袭、剽窃、代写等学术不端行为，按要求完成答辩并提交归档材料</w:t>
      </w:r>
      <w:r>
        <w:rPr>
          <w:rFonts w:ascii="仿宋_GB2312" w:eastAsia="仿宋_GB2312" w:hAnsi="宋体" w:hint="eastAsia"/>
          <w:kern w:val="6"/>
          <w:sz w:val="32"/>
          <w:szCs w:val="32"/>
        </w:rPr>
        <w:t>。鼓励学生积极参与联合毕业设计，在“真问题、真场景、真项目”中锤炼真本领。</w:t>
      </w:r>
    </w:p>
    <w:p w14:paraId="3E17F3EA" w14:textId="77777777" w:rsidR="009B0633" w:rsidRDefault="006D55AF">
      <w:pPr>
        <w:ind w:firstLineChars="200" w:firstLine="640"/>
        <w:jc w:val="left"/>
        <w:rPr>
          <w:rFonts w:ascii="黑体" w:eastAsia="黑体" w:hAnsi="黑体" w:cs="Times New Roman"/>
          <w:kern w:val="6"/>
          <w:sz w:val="32"/>
          <w:szCs w:val="32"/>
        </w:rPr>
      </w:pPr>
      <w:r>
        <w:rPr>
          <w:rFonts w:ascii="黑体" w:eastAsia="黑体" w:hAnsi="黑体" w:cs="Times New Roman" w:hint="eastAsia"/>
          <w:kern w:val="6"/>
          <w:sz w:val="32"/>
          <w:szCs w:val="32"/>
        </w:rPr>
        <w:t>二、</w:t>
      </w:r>
      <w:r>
        <w:rPr>
          <w:rFonts w:ascii="黑体" w:eastAsia="黑体" w:hAnsi="黑体" w:cs="Times New Roman"/>
          <w:kern w:val="6"/>
          <w:sz w:val="32"/>
          <w:szCs w:val="32"/>
        </w:rPr>
        <w:t>过程要求与规范</w:t>
      </w:r>
    </w:p>
    <w:p w14:paraId="37F54075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（一）选题原则</w:t>
      </w:r>
    </w:p>
    <w:p w14:paraId="50079C5C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具有正确政治导向，符合社会主义核心价值观。</w:t>
      </w:r>
    </w:p>
    <w:p w14:paraId="4F0657E1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符合专业培养目标及教学基本要求，充分体现本专业综合训练内容，能够全面提升学生的专业素养。</w:t>
      </w:r>
    </w:p>
    <w:p w14:paraId="41662024" w14:textId="77777777" w:rsidR="009B0633" w:rsidRDefault="006D55AF">
      <w:pPr>
        <w:widowControl/>
        <w:spacing w:line="580" w:lineRule="exact"/>
        <w:ind w:firstLineChars="200" w:firstLine="640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Tahoma" w:cs="Tahoma" w:hint="eastAsia"/>
          <w:kern w:val="0"/>
          <w:sz w:val="32"/>
          <w:szCs w:val="32"/>
        </w:rPr>
        <w:t>具有一定的创新性，紧密联系专业前沿和热点。引导学生在综合运用多学科知识原理的基础上，提出新思路、新方法，取得新突破。</w:t>
      </w:r>
    </w:p>
    <w:p w14:paraId="05EBD0E9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难度和工作量适当，符合本科教学阶段的研究要求，具备可操作性。在指导教师的指导下，学生能够在规定的时间内完成任务，并形成相对独立、完整的研究成果。</w:t>
      </w:r>
    </w:p>
    <w:p w14:paraId="42BA273A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要求“一人一题”，不得雷同。由多个学生合作完成的项目或协作完成的课题，必须明确每个学生独立完成的工作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内容，采用加副标题等方式，使每个学生都能达到教学基本要求。</w:t>
      </w:r>
    </w:p>
    <w:p w14:paraId="7A7FB8D4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题目应简明扼要，能准确表达设计（论文研究）内容，字数一般不超过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个字。</w:t>
      </w:r>
    </w:p>
    <w:p w14:paraId="10E29847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课题应来源于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  <w:shd w:val="clear" w:color="auto" w:fill="FFFFFF"/>
        </w:rPr>
        <w:t>导师纵向科研课题、导师横向科研课题、校企（校</w:t>
      </w:r>
      <w:proofErr w:type="gramStart"/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  <w:shd w:val="clear" w:color="auto" w:fill="FFFFFF"/>
        </w:rPr>
        <w:t>校</w:t>
      </w:r>
      <w:proofErr w:type="gramEnd"/>
      <w:r>
        <w:rPr>
          <w:rFonts w:ascii="仿宋_GB2312" w:eastAsia="仿宋_GB2312" w:hAnsi="宋体" w:hint="eastAsia"/>
          <w:kern w:val="6"/>
          <w:sz w:val="32"/>
          <w:szCs w:val="32"/>
        </w:rPr>
        <w:t>、校政）联合课题和</w:t>
      </w:r>
      <w:proofErr w:type="gramStart"/>
      <w:r>
        <w:rPr>
          <w:rFonts w:ascii="仿宋_GB2312" w:eastAsia="仿宋_GB2312" w:hAnsi="宋体" w:hint="eastAsia"/>
          <w:kern w:val="6"/>
          <w:sz w:val="32"/>
          <w:szCs w:val="32"/>
        </w:rPr>
        <w:t>大学生创赛项目</w:t>
      </w:r>
      <w:proofErr w:type="gramEnd"/>
      <w:r>
        <w:rPr>
          <w:rFonts w:ascii="仿宋_GB2312" w:eastAsia="仿宋_GB2312" w:hAnsi="宋体" w:hint="eastAsia"/>
          <w:kern w:val="6"/>
          <w:sz w:val="32"/>
          <w:szCs w:val="32"/>
        </w:rPr>
        <w:t>四类。</w:t>
      </w:r>
    </w:p>
    <w:p w14:paraId="5FF887A0" w14:textId="77777777" w:rsidR="009B0633" w:rsidRDefault="006D55AF">
      <w:pPr>
        <w:pStyle w:val="aa"/>
        <w:spacing w:line="58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专业负责人依据专业</w:t>
      </w:r>
      <w:r>
        <w:rPr>
          <w:rFonts w:ascii="仿宋_GB2312" w:eastAsia="仿宋_GB2312" w:hAnsi="宋体" w:hint="eastAsia"/>
          <w:sz w:val="32"/>
          <w:szCs w:val="32"/>
        </w:rPr>
        <w:t>选题指南审核课题，师生通过双向选择确定最终选题。选题一经确定，不得随意更改；如因特殊情况需要变更的，须履行相应审批手续。</w:t>
      </w:r>
    </w:p>
    <w:p w14:paraId="1D7C8E04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（二）下达任务书</w:t>
      </w:r>
    </w:p>
    <w:p w14:paraId="52A3633F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任务书是学生毕业设计（论文）工作的指导性文件，由指导教师按教学计划向学生下达，用于指导、规范学生毕业设计或论文研究过程。任务书要详尽说明设计（论文研究）的目标和主要内容，需采用的相关理论和实验、设计、调研方法和技术路线，设计（研究）成果应达到的基本要求等。</w:t>
      </w:r>
    </w:p>
    <w:p w14:paraId="4FEBCC54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（三）阶段报告</w:t>
      </w:r>
    </w:p>
    <w:p w14:paraId="423BE1CD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阶段报告是通过实践教学训练培养学生专业技能的必要环节。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前期报告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主要体现文献综述、设计（研究）方法学习和实验准备过程中遇到的问题与解决方案，以及工作进度。中期报告主要体现阶段设计成果或实验结果、设计（研究）过程中遇到的问题与解决方案，以及工作进度。毕业设计说明书或毕业论文主要体现研究基础、过程方法、成果价值与总结反思。学生应根据任务书要求，按时提交阶段文档；指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导教师在审阅时给予具体指导，并对其工作态度和工作质量做出客观评价。</w:t>
      </w:r>
    </w:p>
    <w:p w14:paraId="4B479D64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（四）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学术不端行为检测</w:t>
      </w:r>
    </w:p>
    <w:p w14:paraId="2D20A777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所有论文均须通过指定系统进行文字复制比检测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全员检测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，并根据情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况进行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AIGC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（人工智能生成内容）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检测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具体标准由各学院制定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并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报本科生院备案。</w:t>
      </w:r>
    </w:p>
    <w:p w14:paraId="58C541B7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/>
          <w:kern w:val="6"/>
          <w:sz w:val="32"/>
          <w:szCs w:val="32"/>
        </w:rPr>
        <w:t>1.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原则上毕业设计说明书文字复制比小于等于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30%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。文字复制比超过标准值的按以下办法进行处理：认定结果为轻度抄袭情况的，由指导教师指导学生进行论文修改，修改后的毕业设计（论文）须进行复检。复检后的文字复制比仍大于标准值的，取消该生本学期毕业答辩资格，延期毕业。认定结果为重度抄袭情况且文字复制比小于等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70%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的，取消该生本学期答辩资格，其毕业设计（论文）须重新撰写，延期毕业。认定结果为重度抄袭情况且文字复制比大于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70%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的，按考试作弊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处理，成绩按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“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零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”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分计。文字复制比检测结果依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据《河北工业大学本科学位论文作假行为处理办法》（校政字〔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2013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〕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20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号）处理。</w:t>
      </w:r>
    </w:p>
    <w:p w14:paraId="34B533AC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/>
          <w:kern w:val="6"/>
          <w:sz w:val="32"/>
          <w:szCs w:val="32"/>
        </w:rPr>
        <w:t>2.AIGC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（人工智能生成内容）检测结果超过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30%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的，学院应组织相关专业负责人和指导教师开展充分调查后进行综合</w:t>
      </w:r>
      <w:proofErr w:type="gramStart"/>
      <w:r>
        <w:rPr>
          <w:rFonts w:ascii="仿宋_GB2312" w:eastAsia="仿宋_GB2312" w:hAnsi="宋体" w:cs="Times New Roman"/>
          <w:kern w:val="6"/>
          <w:sz w:val="32"/>
          <w:szCs w:val="32"/>
        </w:rPr>
        <w:t>研</w:t>
      </w:r>
      <w:proofErr w:type="gramEnd"/>
      <w:r>
        <w:rPr>
          <w:rFonts w:ascii="仿宋_GB2312" w:eastAsia="仿宋_GB2312" w:hAnsi="宋体" w:cs="Times New Roman"/>
          <w:kern w:val="6"/>
          <w:sz w:val="32"/>
          <w:szCs w:val="32"/>
        </w:rPr>
        <w:t>判，并结合实际情况指导学生对毕业设计（论文）进行必要的修改。</w:t>
      </w:r>
    </w:p>
    <w:p w14:paraId="45BDEEE1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（五）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评阅与答辩资格审核</w:t>
      </w:r>
    </w:p>
    <w:p w14:paraId="0FA4F0FE" w14:textId="77777777" w:rsidR="009B0633" w:rsidRDefault="009B0633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</w:p>
    <w:p w14:paraId="670A4CA3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学生完成任务书规定的毕业设计（论文）工作，指导教师和同行评阅人的评分之和大于等于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36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分且分项成绩均大于等于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12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分，且毕业设计（论文）检测通过，方可获得答辩资格。专业答辩名单由专业负责人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核定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无误后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公布。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联合毕业设计的论文，必须包含企业导师的评阅意见。</w:t>
      </w:r>
    </w:p>
    <w:p w14:paraId="112AF2F1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（六）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答辩与成绩评定</w:t>
      </w:r>
    </w:p>
    <w:p w14:paraId="4E37B351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各学院组织毕业设计（论文）答辩委员会，主管院长担任答辩委员会主席，专业负责人组织答辩小组（不少于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3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名教师）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，遵循指导教师回避原则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。学生人数较多的学院可按专业下设</w:t>
      </w:r>
      <w:proofErr w:type="gramStart"/>
      <w:r>
        <w:rPr>
          <w:rFonts w:ascii="仿宋_GB2312" w:eastAsia="仿宋_GB2312" w:hAnsi="宋体" w:cs="Times New Roman"/>
          <w:kern w:val="6"/>
          <w:sz w:val="32"/>
          <w:szCs w:val="32"/>
        </w:rPr>
        <w:t>答辩分</w:t>
      </w:r>
      <w:proofErr w:type="gramEnd"/>
      <w:r>
        <w:rPr>
          <w:rFonts w:ascii="仿宋_GB2312" w:eastAsia="仿宋_GB2312" w:hAnsi="宋体" w:cs="Times New Roman"/>
          <w:kern w:val="6"/>
          <w:sz w:val="32"/>
          <w:szCs w:val="32"/>
        </w:rPr>
        <w:t>委员会，专业负责人担任</w:t>
      </w:r>
      <w:proofErr w:type="gramStart"/>
      <w:r>
        <w:rPr>
          <w:rFonts w:ascii="仿宋_GB2312" w:eastAsia="仿宋_GB2312" w:hAnsi="宋体" w:cs="Times New Roman"/>
          <w:kern w:val="6"/>
          <w:sz w:val="32"/>
          <w:szCs w:val="32"/>
        </w:rPr>
        <w:t>答辩分</w:t>
      </w:r>
      <w:proofErr w:type="gramEnd"/>
      <w:r>
        <w:rPr>
          <w:rFonts w:ascii="仿宋_GB2312" w:eastAsia="仿宋_GB2312" w:hAnsi="宋体" w:cs="Times New Roman"/>
          <w:kern w:val="6"/>
          <w:sz w:val="32"/>
          <w:szCs w:val="32"/>
        </w:rPr>
        <w:t>委会主席。</w:t>
      </w:r>
    </w:p>
    <w:p w14:paraId="54184B1E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答辩委员会（小组）要认真听取学生汇报，围绕毕业设计（论文）内容提出意见与建议，根据任务书要求，结合学生的完成情况、文档质量、陈述问题的清晰度、回答问题的准确度等评定答辩成绩，填写答辩记录和决议表。</w:t>
      </w:r>
    </w:p>
    <w:p w14:paraId="6CA8162E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答辩成绩小于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24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分的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进行二次答辩。期间若发现涉嫌成果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抄袭、剽窃、代写等学术不端行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情况，由答辩小组组长组织形成初步认定意见，经专业负责人审核，提交学院答辩委员会做出最终认定。</w:t>
      </w:r>
    </w:p>
    <w:p w14:paraId="35AA31A7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（七）评优</w:t>
      </w:r>
    </w:p>
    <w:p w14:paraId="734A4566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优秀毕业设计（论文）从选题的意义，文献综述的规范性，实验、设计、调研过程的严谨性和方法的科学性，结论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的逻辑性，成果的创新性和实际应用价值五方面综合评定，至少有四方面在本专业同届毕业设计（论文）中相对突出。</w:t>
      </w:r>
    </w:p>
    <w:p w14:paraId="6D5BF4EE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校级优秀毕业设计（论文）依据成果成绩和优秀评定标准，由指导教师推荐，经学院答辩委员会评审、主席核准，公示无异议后报本科生院备案。校级优秀率原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则上不超过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10%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。</w:t>
      </w:r>
    </w:p>
    <w:p w14:paraId="1701D922" w14:textId="77777777" w:rsidR="009B0633" w:rsidRDefault="006D55AF">
      <w:pPr>
        <w:ind w:firstLineChars="200" w:firstLine="643"/>
        <w:rPr>
          <w:rFonts w:ascii="黑体" w:eastAsia="黑体" w:hAnsi="黑体" w:cs="Times New Roman"/>
          <w:b/>
          <w:bCs/>
          <w:kern w:val="6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kern w:val="6"/>
          <w:sz w:val="32"/>
          <w:szCs w:val="32"/>
        </w:rPr>
        <w:t>三、</w:t>
      </w:r>
      <w:r>
        <w:rPr>
          <w:rFonts w:ascii="黑体" w:eastAsia="黑体" w:hAnsi="黑体" w:cs="Times New Roman"/>
          <w:b/>
          <w:bCs/>
          <w:kern w:val="6"/>
          <w:sz w:val="32"/>
          <w:szCs w:val="32"/>
        </w:rPr>
        <w:t>质量监控与总结归档</w:t>
      </w:r>
    </w:p>
    <w:p w14:paraId="01B66502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（一）质量监控</w:t>
      </w:r>
    </w:p>
    <w:p w14:paraId="6C815340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1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建立“学院自查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-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校级抽查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-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系统监测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-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社会反馈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”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四维联动的质量监控机制，以本科毕业设计（论文）管理系统为技术支撑，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依托“联合毕业设计课题管理平台”深化数据应用，实现对毕业设计（论文）工作全过程、多维度的质量追踪与评估，实现从终端评价向过程管控的转变。</w:t>
      </w:r>
    </w:p>
    <w:p w14:paraId="3863AD5F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/>
          <w:kern w:val="6"/>
          <w:sz w:val="32"/>
          <w:szCs w:val="32"/>
        </w:rPr>
        <w:t>2.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各学院是质量监控的责任主体，负责本院全过程质量自查。自查应覆盖选题审核、教师指导、中期检查、评阅答辩、评优等所有环节，并重点核查联合毕业设计项目的“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双导师制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”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落实与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校外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导师参与深度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，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关注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“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四库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”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资源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数据化建设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和应用情况。</w:t>
      </w:r>
    </w:p>
    <w:p w14:paraId="62FED75F" w14:textId="4084EA34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/>
          <w:kern w:val="6"/>
          <w:sz w:val="32"/>
          <w:szCs w:val="32"/>
        </w:rPr>
        <w:t>3.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本科生院组织教学督导专家与学科专家，采取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随机与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定向相结合的方式进行检查。抽查重点包括选题质量、过程文档的质量与规范性、论文质量、评优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程序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的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合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规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性。专项检查联合毕业设计（论文）课题的“真题真做”成效与成果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质量。</w:t>
      </w:r>
    </w:p>
    <w:p w14:paraId="65994AC0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4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通过信息系统后台数据进行全过程、常态化质量监控。依托“毕业设计管理系统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”和“联合毕业设计课题管理平台”，实现对各环节关键数据的实时采集、分析与预警。</w:t>
      </w:r>
    </w:p>
    <w:p w14:paraId="44D58F87" w14:textId="4619B50A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5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.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建立面向联合毕业设计合作单位、毕业生及用人单位的长期跟踪与反馈机制，通过问卷调查与访谈，收集合作单位对项目成果、学生综合能力及合作模式的满意度，作为优化合作的重要依据。进行毕业生与雇主调查，将毕业设计经历对职业发展的影响纳入远期跟踪，从社会与行业视角反哺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优化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人才培养方案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14:paraId="4FEFF779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（二）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工作总结与归档</w:t>
      </w:r>
    </w:p>
    <w:p w14:paraId="681E6E65" w14:textId="63432CE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工作结束后，各学院须向本科生院提交年度总结报告，内容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需包括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本年度关键数据与上年度的对比分析；重点总结“四库一平台”的建设成效、联合毕业设计工作的成效、挑战与改进方案；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基于数据分析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制定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下一年度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可量化的改进目标（如：提升联合设计比例至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X%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，新增合作单位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X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家，成果库收录高质量成果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X</w:t>
      </w:r>
      <w:r>
        <w:rPr>
          <w:rFonts w:ascii="仿宋_GB2312" w:eastAsia="仿宋_GB2312" w:hAnsi="宋体" w:cs="Times New Roman"/>
          <w:kern w:val="6"/>
          <w:sz w:val="32"/>
          <w:szCs w:val="32"/>
        </w:rPr>
        <w:t>项等）。</w:t>
      </w:r>
    </w:p>
    <w:p w14:paraId="0695F3B9" w14:textId="77777777" w:rsidR="009B0633" w:rsidRDefault="006D55AF">
      <w:pPr>
        <w:ind w:firstLineChars="200" w:firstLine="640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所有资料（</w:t>
      </w:r>
      <w:proofErr w:type="gramStart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含任务</w:t>
      </w:r>
      <w:proofErr w:type="gramEnd"/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书、毕业设计说明书或毕业论文、评阅书、答辩记录等）由学院统一归档。联合毕业设计的合作协议、企业导师评阅意见、原始技术资料等应作为重要补充材料一并归档。具有突出应用价值的优秀毕业设计成果，学院应将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其完整资料（包括代码、图纸、原型等）推荐至校级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lastRenderedPageBreak/>
        <w:t>“毕业设计成果库”进行集中展示与推广。</w:t>
      </w:r>
    </w:p>
    <w:sectPr w:rsidR="009B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1FC6" w14:textId="77777777" w:rsidR="006D55AF" w:rsidRDefault="006D55AF" w:rsidP="00E5618D">
      <w:r>
        <w:separator/>
      </w:r>
    </w:p>
  </w:endnote>
  <w:endnote w:type="continuationSeparator" w:id="0">
    <w:p w14:paraId="370CD821" w14:textId="77777777" w:rsidR="006D55AF" w:rsidRDefault="006D55AF" w:rsidP="00E5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DB6A" w14:textId="77777777" w:rsidR="006D55AF" w:rsidRDefault="006D55AF" w:rsidP="00E5618D">
      <w:r>
        <w:separator/>
      </w:r>
    </w:p>
  </w:footnote>
  <w:footnote w:type="continuationSeparator" w:id="0">
    <w:p w14:paraId="61C396C8" w14:textId="77777777" w:rsidR="006D55AF" w:rsidRDefault="006D55AF" w:rsidP="00E5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24"/>
    <w:rsid w:val="00090BFC"/>
    <w:rsid w:val="00096D58"/>
    <w:rsid w:val="000C6EB8"/>
    <w:rsid w:val="00130D2B"/>
    <w:rsid w:val="00163D77"/>
    <w:rsid w:val="001E0548"/>
    <w:rsid w:val="00240804"/>
    <w:rsid w:val="00276509"/>
    <w:rsid w:val="002A71F9"/>
    <w:rsid w:val="002B4260"/>
    <w:rsid w:val="003458BA"/>
    <w:rsid w:val="00354378"/>
    <w:rsid w:val="00365FDB"/>
    <w:rsid w:val="00496231"/>
    <w:rsid w:val="00520D7B"/>
    <w:rsid w:val="00581A66"/>
    <w:rsid w:val="00596E54"/>
    <w:rsid w:val="00597130"/>
    <w:rsid w:val="005B279B"/>
    <w:rsid w:val="005C2EE2"/>
    <w:rsid w:val="006346D1"/>
    <w:rsid w:val="00643208"/>
    <w:rsid w:val="006655DC"/>
    <w:rsid w:val="00686B43"/>
    <w:rsid w:val="006D55AF"/>
    <w:rsid w:val="00722B24"/>
    <w:rsid w:val="007F3936"/>
    <w:rsid w:val="0081060D"/>
    <w:rsid w:val="00821A5B"/>
    <w:rsid w:val="008811FE"/>
    <w:rsid w:val="00897C7C"/>
    <w:rsid w:val="008F76BD"/>
    <w:rsid w:val="00903E8B"/>
    <w:rsid w:val="009208E8"/>
    <w:rsid w:val="009347B1"/>
    <w:rsid w:val="009B0633"/>
    <w:rsid w:val="009D408E"/>
    <w:rsid w:val="009E2458"/>
    <w:rsid w:val="00B940E6"/>
    <w:rsid w:val="00BB6E0E"/>
    <w:rsid w:val="00C2222D"/>
    <w:rsid w:val="00C350BF"/>
    <w:rsid w:val="00CD5688"/>
    <w:rsid w:val="00CF33FA"/>
    <w:rsid w:val="00D106DA"/>
    <w:rsid w:val="00D12818"/>
    <w:rsid w:val="00D16C9B"/>
    <w:rsid w:val="00DC44D7"/>
    <w:rsid w:val="00DC4945"/>
    <w:rsid w:val="00E254FE"/>
    <w:rsid w:val="00E44929"/>
    <w:rsid w:val="00E5618D"/>
    <w:rsid w:val="00EB12B2"/>
    <w:rsid w:val="00EB6693"/>
    <w:rsid w:val="00EC4B9F"/>
    <w:rsid w:val="00F02159"/>
    <w:rsid w:val="00F12C30"/>
    <w:rsid w:val="00F75473"/>
    <w:rsid w:val="00F77D67"/>
    <w:rsid w:val="00FB13EA"/>
    <w:rsid w:val="121D0C03"/>
    <w:rsid w:val="14B33D84"/>
    <w:rsid w:val="74E7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82883D-6EF7-49D4-90AF-74B4A5F2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Char">
    <w:name w:val="Char"/>
    <w:basedOn w:val="a"/>
    <w:qFormat/>
    <w:rPr>
      <w:rFonts w:ascii="宋体" w:eastAsia="宋体" w:hAnsi="宋体" w:cs="Courier New"/>
      <w:sz w:val="32"/>
      <w:szCs w:val="32"/>
    </w:rPr>
  </w:style>
  <w:style w:type="paragraph" w:customStyle="1" w:styleId="aa">
    <w:name w:val="条款"/>
    <w:basedOn w:val="a"/>
    <w:link w:val="Char0"/>
    <w:qFormat/>
    <w:pPr>
      <w:spacing w:line="360" w:lineRule="auto"/>
      <w:ind w:firstLineChars="200" w:firstLine="200"/>
    </w:pPr>
    <w:rPr>
      <w:rFonts w:ascii="Times New Roman" w:eastAsia="宋体" w:hAnsi="Times New Roman" w:cs="宋体"/>
      <w:szCs w:val="20"/>
    </w:rPr>
  </w:style>
  <w:style w:type="character" w:customStyle="1" w:styleId="Char0">
    <w:name w:val="条款 Char"/>
    <w:link w:val="aa"/>
    <w:qFormat/>
    <w:rPr>
      <w:rFonts w:ascii="Times New Roman" w:eastAsia="宋体" w:hAnsi="Times New Roman" w:cs="宋体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CC63-9CAA-4DF3-8D0C-AAD9F84D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2047</Words>
  <Characters>2069</Characters>
  <Application>Microsoft Office Word</Application>
  <DocSecurity>0</DocSecurity>
  <Lines>94</Lines>
  <Paragraphs>45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徐晓涵</dc:creator>
  <cp:lastModifiedBy>ty</cp:lastModifiedBy>
  <cp:revision>11</cp:revision>
  <dcterms:created xsi:type="dcterms:W3CDTF">2025-10-27T08:52:00Z</dcterms:created>
  <dcterms:modified xsi:type="dcterms:W3CDTF">2025-10-30T05:51:00Z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36FD6D39285C43C291FE69B477E33A28_12</vt:lpwstr>
  </property>
  <property fmtid="{D5CDD505-2E9C-101B-9397-08002B2CF9AE}" pid="4" name="KSOTemplateDocerSaveRecord">
    <vt:lpwstr>eyJoZGlkIjoiYzI3NGY3ZWE3MzAwOTQ3NjgxZTgwN2RhMTNkNzE1YWYiLCJ1c2VySWQiOiI4MzI4NDEwMjgifQ==</vt:lpwstr>
  </property>
</Properties>
</file>